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708" w:rsidRPr="00296CE5" w:rsidRDefault="00B72708" w:rsidP="004C67EB">
      <w:pPr>
        <w:spacing w:after="0" w:line="360" w:lineRule="auto"/>
        <w:ind w:firstLine="709"/>
        <w:jc w:val="right"/>
        <w:rPr>
          <w:rFonts w:ascii="Times New Roman" w:hAnsi="Times New Roman"/>
          <w:b/>
          <w:sz w:val="28"/>
          <w:szCs w:val="28"/>
        </w:rPr>
      </w:pPr>
      <w:r w:rsidRPr="00296CE5">
        <w:rPr>
          <w:rFonts w:ascii="Times New Roman" w:hAnsi="Times New Roman"/>
          <w:b/>
          <w:sz w:val="28"/>
          <w:szCs w:val="28"/>
        </w:rPr>
        <w:t>Руслана Даниляк, Лілія Вишневецька</w:t>
      </w:r>
    </w:p>
    <w:p w:rsidR="00B72708" w:rsidRPr="00296CE5" w:rsidRDefault="00B72708" w:rsidP="004C67EB">
      <w:pPr>
        <w:spacing w:after="0" w:line="360" w:lineRule="auto"/>
        <w:ind w:firstLine="709"/>
        <w:jc w:val="right"/>
        <w:rPr>
          <w:rFonts w:ascii="Times New Roman" w:hAnsi="Times New Roman"/>
          <w:b/>
          <w:sz w:val="28"/>
          <w:szCs w:val="28"/>
        </w:rPr>
      </w:pPr>
      <w:r w:rsidRPr="00296CE5">
        <w:rPr>
          <w:rFonts w:ascii="Times New Roman" w:hAnsi="Times New Roman"/>
          <w:b/>
          <w:sz w:val="28"/>
          <w:szCs w:val="28"/>
        </w:rPr>
        <w:t>(Дрогобич, Україна)</w:t>
      </w:r>
    </w:p>
    <w:p w:rsidR="00B72708" w:rsidRDefault="00B72708" w:rsidP="004C67EB">
      <w:pPr>
        <w:spacing w:after="0" w:line="360" w:lineRule="auto"/>
        <w:ind w:firstLine="709"/>
        <w:jc w:val="right"/>
        <w:rPr>
          <w:rFonts w:ascii="Times New Roman" w:hAnsi="Times New Roman"/>
          <w:sz w:val="28"/>
          <w:szCs w:val="28"/>
        </w:rPr>
      </w:pPr>
    </w:p>
    <w:p w:rsidR="00B72708" w:rsidRDefault="00B72708" w:rsidP="004C67EB">
      <w:pPr>
        <w:spacing w:after="0" w:line="360" w:lineRule="auto"/>
        <w:ind w:firstLine="709"/>
        <w:jc w:val="center"/>
        <w:rPr>
          <w:rFonts w:ascii="Times New Roman" w:hAnsi="Times New Roman"/>
          <w:b/>
          <w:sz w:val="28"/>
          <w:szCs w:val="28"/>
        </w:rPr>
      </w:pPr>
      <w:r w:rsidRPr="004C67EB">
        <w:rPr>
          <w:rFonts w:ascii="Times New Roman" w:hAnsi="Times New Roman"/>
          <w:b/>
          <w:sz w:val="28"/>
          <w:szCs w:val="28"/>
        </w:rPr>
        <w:t>ФОРМУВАННЯ МЕДІАГРАМОТНОСТІ УЧНІВ ПОЧАТКОВИХ КЛАСІВ В ОСВІТНЬОМУ ПРОЦЕСІ НУШ</w:t>
      </w:r>
    </w:p>
    <w:p w:rsidR="00B72708" w:rsidRPr="004C67EB" w:rsidRDefault="00B72708" w:rsidP="004C67EB">
      <w:pPr>
        <w:spacing w:after="0" w:line="360" w:lineRule="auto"/>
        <w:ind w:firstLine="709"/>
        <w:jc w:val="center"/>
        <w:rPr>
          <w:rFonts w:ascii="Times New Roman" w:hAnsi="Times New Roman"/>
          <w:b/>
          <w:sz w:val="28"/>
          <w:szCs w:val="28"/>
        </w:rPr>
      </w:pPr>
    </w:p>
    <w:p w:rsidR="00B72708" w:rsidRDefault="00B72708" w:rsidP="007B15EB">
      <w:pPr>
        <w:spacing w:after="0" w:line="360" w:lineRule="auto"/>
        <w:ind w:firstLine="709"/>
        <w:jc w:val="both"/>
        <w:rPr>
          <w:rFonts w:ascii="Times New Roman" w:hAnsi="Times New Roman"/>
          <w:sz w:val="28"/>
          <w:szCs w:val="28"/>
        </w:rPr>
      </w:pPr>
      <w:r>
        <w:rPr>
          <w:rFonts w:ascii="Times New Roman" w:hAnsi="Times New Roman"/>
          <w:sz w:val="28"/>
          <w:szCs w:val="28"/>
        </w:rPr>
        <w:t>Ключову</w:t>
      </w:r>
      <w:r w:rsidRPr="007B15EB">
        <w:rPr>
          <w:rFonts w:ascii="Times New Roman" w:hAnsi="Times New Roman"/>
          <w:sz w:val="28"/>
          <w:szCs w:val="28"/>
        </w:rPr>
        <w:t xml:space="preserve"> роль  у реформуванні початкової освіти відіграє розроблена у 2016 році Концепція Нової української школи, яка спрямована на ф</w:t>
      </w:r>
      <w:r>
        <w:rPr>
          <w:rFonts w:ascii="Times New Roman" w:hAnsi="Times New Roman"/>
          <w:sz w:val="28"/>
          <w:szCs w:val="28"/>
        </w:rPr>
        <w:t>ормування в дітей нових навичок, умінь та здобуття компетентностей</w:t>
      </w:r>
      <w:r w:rsidRPr="007B15EB">
        <w:rPr>
          <w:rFonts w:ascii="Times New Roman" w:hAnsi="Times New Roman"/>
          <w:sz w:val="28"/>
          <w:szCs w:val="28"/>
        </w:rPr>
        <w:t xml:space="preserve">. Нова українська школа — це школа для життя у XXI столітті. Змінюються технології, розвивається суспільство, натомість  не можна передбачити ті, із  якими викликами зустрінуться діти, які зараз навчаються у школі.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Серед ключових компетентностей, що їх має опанувати учень, є інформаційно-цифрова. Вона передбачає впевнене, а водночас критичне застосування інформаційно</w:t>
      </w:r>
      <w:r>
        <w:rPr>
          <w:rFonts w:ascii="Times New Roman" w:hAnsi="Times New Roman"/>
          <w:sz w:val="28"/>
          <w:szCs w:val="28"/>
        </w:rPr>
        <w:t>-</w:t>
      </w:r>
      <w:r w:rsidRPr="007B15EB">
        <w:rPr>
          <w:rFonts w:ascii="Times New Roman" w:hAnsi="Times New Roman"/>
          <w:sz w:val="28"/>
          <w:szCs w:val="28"/>
        </w:rPr>
        <w:t xml:space="preserve">комунікаційних технологій (ІКТ) для створення, пошуку, обробки, обміну інформацією на роботі, в публічному просторі та приватному спілкуванні [4].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Стрімкий розвиток у сучасному світі інформаційно-комунікаційних технологій та системи мас-медіа нагально потребує цілеспрямованої підготовки особистості  до вмілого і безпечного користування ними. У багатьох країнах медіаосвіта функціонує як система, що стала невід’ємною частиною, з одного боку, загальноосвітньої підготовки молоді, із другого – масових інформаційних процесів.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Тема медіа</w:t>
      </w:r>
      <w:r>
        <w:rPr>
          <w:rFonts w:ascii="Times New Roman" w:hAnsi="Times New Roman"/>
          <w:sz w:val="28"/>
          <w:szCs w:val="28"/>
        </w:rPr>
        <w:t xml:space="preserve"> </w:t>
      </w:r>
      <w:r w:rsidRPr="007B15EB">
        <w:rPr>
          <w:rFonts w:ascii="Times New Roman" w:hAnsi="Times New Roman"/>
          <w:sz w:val="28"/>
          <w:szCs w:val="28"/>
        </w:rPr>
        <w:t>освіти</w:t>
      </w:r>
      <w:r>
        <w:rPr>
          <w:rFonts w:ascii="Times New Roman" w:hAnsi="Times New Roman"/>
          <w:sz w:val="28"/>
          <w:szCs w:val="28"/>
        </w:rPr>
        <w:t xml:space="preserve"> активно </w:t>
      </w:r>
      <w:r w:rsidRPr="007B15EB">
        <w:rPr>
          <w:rFonts w:ascii="Times New Roman" w:hAnsi="Times New Roman"/>
          <w:sz w:val="28"/>
          <w:szCs w:val="28"/>
        </w:rPr>
        <w:t xml:space="preserve">розглядається в різних наукових </w:t>
      </w:r>
      <w:r>
        <w:rPr>
          <w:rFonts w:ascii="Times New Roman" w:hAnsi="Times New Roman"/>
          <w:sz w:val="28"/>
          <w:szCs w:val="28"/>
        </w:rPr>
        <w:t>напрямках</w:t>
      </w:r>
      <w:r w:rsidRPr="007B15EB">
        <w:rPr>
          <w:rFonts w:ascii="Times New Roman" w:hAnsi="Times New Roman"/>
          <w:sz w:val="28"/>
          <w:szCs w:val="28"/>
        </w:rPr>
        <w:t>. Зокрема, філософське осмислення медіа</w:t>
      </w:r>
      <w:r>
        <w:rPr>
          <w:rFonts w:ascii="Times New Roman" w:hAnsi="Times New Roman"/>
          <w:sz w:val="28"/>
          <w:szCs w:val="28"/>
        </w:rPr>
        <w:t xml:space="preserve"> </w:t>
      </w:r>
      <w:r w:rsidRPr="007B15EB">
        <w:rPr>
          <w:rFonts w:ascii="Times New Roman" w:hAnsi="Times New Roman"/>
          <w:sz w:val="28"/>
          <w:szCs w:val="28"/>
        </w:rPr>
        <w:t>освітньої діяльності представлено в працях В. Возчікова, Н. Кирилової, Г. Лассуела, М. Маклюена, Л. Мастермана, П. Офдерхейда, В. Савчука  та ін.; психологічний аспект впливу медіа н</w:t>
      </w:r>
      <w:r>
        <w:rPr>
          <w:rFonts w:ascii="Times New Roman" w:hAnsi="Times New Roman"/>
          <w:sz w:val="28"/>
          <w:szCs w:val="28"/>
        </w:rPr>
        <w:t>а особистість досліджували І. Ди</w:t>
      </w:r>
      <w:r w:rsidRPr="007B15EB">
        <w:rPr>
          <w:rFonts w:ascii="Times New Roman" w:hAnsi="Times New Roman"/>
          <w:sz w:val="28"/>
          <w:szCs w:val="28"/>
        </w:rPr>
        <w:t>чківс</w:t>
      </w:r>
      <w:r>
        <w:rPr>
          <w:rFonts w:ascii="Times New Roman" w:hAnsi="Times New Roman"/>
          <w:sz w:val="28"/>
          <w:szCs w:val="28"/>
        </w:rPr>
        <w:t>ька, Л. Найдьонова, Е. Проніна</w:t>
      </w:r>
      <w:r w:rsidRPr="007B15EB">
        <w:rPr>
          <w:rFonts w:ascii="Times New Roman" w:hAnsi="Times New Roman"/>
          <w:sz w:val="28"/>
          <w:szCs w:val="28"/>
        </w:rPr>
        <w:t xml:space="preserve"> та ін.; концепції, моделі медіа</w:t>
      </w:r>
      <w:r>
        <w:rPr>
          <w:rFonts w:ascii="Times New Roman" w:hAnsi="Times New Roman"/>
          <w:sz w:val="28"/>
          <w:szCs w:val="28"/>
        </w:rPr>
        <w:t xml:space="preserve"> </w:t>
      </w:r>
      <w:r w:rsidRPr="007B15EB">
        <w:rPr>
          <w:rFonts w:ascii="Times New Roman" w:hAnsi="Times New Roman"/>
          <w:sz w:val="28"/>
          <w:szCs w:val="28"/>
        </w:rPr>
        <w:t xml:space="preserve">освіти пропонували І. Гуриненко, Г. Онкович, А. Федоров та інші дослідники.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Важливу роль у становленні та розвитку медіаосвіти відіграло ЮНЕСКО. Вважається, що вперше термін «медіа</w:t>
      </w:r>
      <w:r>
        <w:rPr>
          <w:rFonts w:ascii="Times New Roman" w:hAnsi="Times New Roman"/>
          <w:sz w:val="28"/>
          <w:szCs w:val="28"/>
        </w:rPr>
        <w:t xml:space="preserve"> </w:t>
      </w:r>
      <w:r w:rsidRPr="007B15EB">
        <w:rPr>
          <w:rFonts w:ascii="Times New Roman" w:hAnsi="Times New Roman"/>
          <w:sz w:val="28"/>
          <w:szCs w:val="28"/>
        </w:rPr>
        <w:t xml:space="preserve">освіта» вжито 1973 року на спільному засіданні сектору інформації ЮНЕСКО  та Міжнародної ради з кіно, телебачення та аудіовізуальної комунікації [2].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Медіаграмотність є результатом безперервного медіаосвітнього і медіавиховного процесу в початковій школі. Навчання медіаграмотності учнів початкової школи – процес тривалий і складний. Він включає в себе різні фактори: атмосферу в сім'ї, спілкування з батьками та близькими, їхнє ставлення до ролі медіатехнологій, відносини між дітьми в школі і вплив ззовні. Таким чином, необхідно цілеспрямоване навчання медіаграмотності учнів початкової школи, співпраця сім'ї та шкільного закладу [</w:t>
      </w:r>
      <w:r>
        <w:rPr>
          <w:rFonts w:ascii="Times New Roman" w:hAnsi="Times New Roman"/>
          <w:sz w:val="28"/>
          <w:szCs w:val="28"/>
        </w:rPr>
        <w:t>1, с.310-312</w:t>
      </w:r>
      <w:r w:rsidRPr="007B15EB">
        <w:rPr>
          <w:rFonts w:ascii="Times New Roman" w:hAnsi="Times New Roman"/>
          <w:sz w:val="28"/>
          <w:szCs w:val="28"/>
        </w:rPr>
        <w:t xml:space="preserve">].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Коли діти використовують медіа, важливо, щоб їхній зміст відповідав їхнім потребам і запитам. Водночас медіа, з урахуванням пізнавальних і соціальноемоційних навичок у дітей, мають сприяти розвиткові дитини</w:t>
      </w:r>
      <w:r>
        <w:rPr>
          <w:rFonts w:ascii="Times New Roman" w:hAnsi="Times New Roman"/>
          <w:sz w:val="28"/>
          <w:szCs w:val="28"/>
        </w:rPr>
        <w:t>. Н</w:t>
      </w:r>
      <w:r w:rsidRPr="007B15EB">
        <w:rPr>
          <w:rFonts w:ascii="Times New Roman" w:hAnsi="Times New Roman"/>
          <w:sz w:val="28"/>
          <w:szCs w:val="28"/>
        </w:rPr>
        <w:t xml:space="preserve">априклад, можуть стимулювати уяву, цікавість і заохочувати до відтворення. Але діти не завжди, через свій досвід і багато інших факторів, можуть адекватно сприймати медіа і тоді можуть неправильно зрозуміти інформацію, і зрештою матимуть спотворену картину реального світу. Крім того, щоб знати, які медіа непридатні, особливо важливо, щоб батьки мали уявлення про те, які медіа відповідають знанням та інтересам їхньої дитини.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У початковій школі діти все більше і більше цікавляться світом навколо них. Гра для них залишається основною формою пізнання світу. Практикувати в грі академічні навички, такі як уміння читати і рахувати також відповідає цьому вікові. Медіа підтримують їх у виконанні домашніх і практичних завдань.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При виборі відповідних медіа варто враховувати характер дитини. Деякі діти легше, ніж інші, наприклад, піддаються впливові, відчувають занепокоєння або невпевненість. При пошуку хорошого контенту медіа врешті грають роль три основні критерії:  привабливі медіа гарантують, скажімо, що дитина буде взаємодіяти з медійним додатком, наприклад, щоб щось побудувати або виправити, і зусилля гравця будуть оцінені певними винагородами;  надійні медіа пропонують гарне поєднання задоволення і те, що немає реклами, спрямованої, наприклад, на заохочення витрачати гроші;  простота у використанні медіа має задовольнити навички певної цільової групи, для якої ті призначені, наприклад мовні та моторні, та дозволяє раціонально підійти до часу, який витрачають батьки.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Існу</w:t>
      </w:r>
      <w:r>
        <w:rPr>
          <w:rFonts w:ascii="Times New Roman" w:hAnsi="Times New Roman"/>
          <w:sz w:val="28"/>
          <w:szCs w:val="28"/>
        </w:rPr>
        <w:t>є</w:t>
      </w:r>
      <w:r w:rsidRPr="007B15EB">
        <w:rPr>
          <w:rFonts w:ascii="Times New Roman" w:hAnsi="Times New Roman"/>
          <w:sz w:val="28"/>
          <w:szCs w:val="28"/>
        </w:rPr>
        <w:t xml:space="preserve"> п’ять ключових ідей, які допомагають дітям розпочати усвідомлено користуватися медіа.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1. Усі медіа створили люди. Для дітей може бути відкриттям, що телевізійні шоу, як книжки, мають авторів. Тож</w:t>
      </w:r>
      <w:r>
        <w:rPr>
          <w:rFonts w:ascii="Times New Roman" w:hAnsi="Times New Roman"/>
          <w:sz w:val="28"/>
          <w:szCs w:val="28"/>
        </w:rPr>
        <w:t>,</w:t>
      </w:r>
      <w:r w:rsidRPr="007B15EB">
        <w:rPr>
          <w:rFonts w:ascii="Times New Roman" w:hAnsi="Times New Roman"/>
          <w:sz w:val="28"/>
          <w:szCs w:val="28"/>
        </w:rPr>
        <w:t xml:space="preserve"> коли ви дивитеся телепрограму з дітьми, попросіть їх подумати про те, хто створив шоу чи вони дійсно знали людей, схожих на героїв. Ви можете пошукати сім’ю, схожу на вашу чи ваших знайомих, і обговорити всі схожості та відмінності.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2. Медіапродукти створюються</w:t>
      </w:r>
      <w:r>
        <w:rPr>
          <w:rFonts w:ascii="Times New Roman" w:hAnsi="Times New Roman"/>
          <w:sz w:val="28"/>
          <w:szCs w:val="28"/>
        </w:rPr>
        <w:t>,</w:t>
      </w:r>
      <w:r w:rsidRPr="007B15EB">
        <w:rPr>
          <w:rFonts w:ascii="Times New Roman" w:hAnsi="Times New Roman"/>
          <w:sz w:val="28"/>
          <w:szCs w:val="28"/>
        </w:rPr>
        <w:t xml:space="preserve"> щоб бути проданими. Наприклад: ви можете показати дітям, як на різних коробках однакових мюслів відрізняються зображення, залежно від того, до кого звертається продавець.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3. Медіа важливі для суспільства. Саме з них походять наші уявлення. Разом з дітьми порівняйте чоловічих і жіночих персонажів в улюблених шоу або іграх ваших дітей і поговоріть про відмінності між ними.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4. Різні люди по-різному реагують на медіа. Із того, що хочуть сказати нам медіа, кожен самостійно визначає, що він почув. Це тому, що ми все сприймаємо через власний досвід. Слід пам’ятати, що ти не головний герой і ніколи ним  не будеш. Ти саме ти, який виріс саме в цій родині.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5. Медіа впливають на нас. Кожна історія, про яку ми дізнаємося, спрямована нас вразити.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Доктор психологічних наук Л.А.Найдьонова охарактеризувала психологічний зміст вікових особливостей сприймання медіа</w:t>
      </w:r>
      <w:r>
        <w:rPr>
          <w:rFonts w:ascii="Times New Roman" w:hAnsi="Times New Roman"/>
          <w:sz w:val="28"/>
          <w:szCs w:val="28"/>
        </w:rPr>
        <w:t>-</w:t>
      </w:r>
      <w:bookmarkStart w:id="0" w:name="_GoBack"/>
      <w:bookmarkEnd w:id="0"/>
      <w:r w:rsidRPr="007B15EB">
        <w:rPr>
          <w:rFonts w:ascii="Times New Roman" w:hAnsi="Times New Roman"/>
          <w:sz w:val="28"/>
          <w:szCs w:val="28"/>
        </w:rPr>
        <w:t xml:space="preserve">текстів. Наведемо повністю без змін деякі характеристики стосовно молодших школярів наведені дослідницею: </w:t>
      </w:r>
    </w:p>
    <w:p w:rsidR="00B72708" w:rsidRDefault="00B72708" w:rsidP="007B15EB">
      <w:pPr>
        <w:spacing w:after="0" w:line="360" w:lineRule="auto"/>
        <w:ind w:firstLine="709"/>
        <w:jc w:val="both"/>
        <w:rPr>
          <w:rFonts w:ascii="Times New Roman" w:hAnsi="Times New Roman"/>
          <w:sz w:val="28"/>
          <w:szCs w:val="28"/>
        </w:rPr>
      </w:pPr>
      <w:r>
        <w:rPr>
          <w:rFonts w:ascii="Times New Roman" w:hAnsi="Times New Roman"/>
          <w:sz w:val="28"/>
          <w:szCs w:val="28"/>
        </w:rPr>
        <w:t>«Межа 6-</w:t>
      </w:r>
      <w:r w:rsidRPr="007B15EB">
        <w:rPr>
          <w:rFonts w:ascii="Times New Roman" w:hAnsi="Times New Roman"/>
          <w:sz w:val="28"/>
          <w:szCs w:val="28"/>
        </w:rPr>
        <w:t>7 років»</w:t>
      </w:r>
      <w:r>
        <w:rPr>
          <w:rFonts w:ascii="Times New Roman" w:hAnsi="Times New Roman"/>
          <w:sz w:val="28"/>
          <w:szCs w:val="28"/>
        </w:rPr>
        <w:t>.</w:t>
      </w:r>
      <w:r w:rsidRPr="007B15EB">
        <w:rPr>
          <w:rFonts w:ascii="Times New Roman" w:hAnsi="Times New Roman"/>
          <w:sz w:val="28"/>
          <w:szCs w:val="28"/>
        </w:rPr>
        <w:t xml:space="preserve"> Розрізнення реальності та фантазії. Діти починають ідентифікувати анімаційні фільми/мультфільми</w:t>
      </w:r>
      <w:r>
        <w:rPr>
          <w:rFonts w:ascii="Times New Roman" w:hAnsi="Times New Roman"/>
          <w:sz w:val="28"/>
          <w:szCs w:val="28"/>
        </w:rPr>
        <w:t>,</w:t>
      </w:r>
      <w:r w:rsidRPr="007B15EB">
        <w:rPr>
          <w:rFonts w:ascii="Times New Roman" w:hAnsi="Times New Roman"/>
          <w:sz w:val="28"/>
          <w:szCs w:val="28"/>
        </w:rPr>
        <w:t xml:space="preserve"> як нереальні близько 6 років. До семи років діти зазвичай іще  не здатні розрізнити адекватно фантазію та реальність у медіа</w:t>
      </w:r>
      <w:r>
        <w:rPr>
          <w:rFonts w:ascii="Times New Roman" w:hAnsi="Times New Roman"/>
          <w:sz w:val="28"/>
          <w:szCs w:val="28"/>
        </w:rPr>
        <w:t>, а</w:t>
      </w:r>
      <w:r w:rsidRPr="007B15EB">
        <w:rPr>
          <w:rFonts w:ascii="Times New Roman" w:hAnsi="Times New Roman"/>
          <w:sz w:val="28"/>
          <w:szCs w:val="28"/>
        </w:rPr>
        <w:t>дже вони і без медіа</w:t>
      </w:r>
      <w:r>
        <w:rPr>
          <w:rFonts w:ascii="Times New Roman" w:hAnsi="Times New Roman"/>
          <w:sz w:val="28"/>
          <w:szCs w:val="28"/>
        </w:rPr>
        <w:t>-</w:t>
      </w:r>
      <w:r w:rsidRPr="007B15EB">
        <w:rPr>
          <w:rFonts w:ascii="Times New Roman" w:hAnsi="Times New Roman"/>
          <w:sz w:val="28"/>
          <w:szCs w:val="28"/>
        </w:rPr>
        <w:t>впливу живуть у цей час ніби у двох світах: зовнішньому матеріальному  і внутрішньому психологічному світі власних фантазій, межа між якими досить нестійка, переривається і часом з</w:t>
      </w:r>
      <w:r>
        <w:rPr>
          <w:rFonts w:ascii="Times New Roman" w:hAnsi="Times New Roman"/>
          <w:sz w:val="28"/>
          <w:szCs w:val="28"/>
        </w:rPr>
        <w:t>міщується. Якщо дитині до 6-</w:t>
      </w:r>
      <w:r w:rsidRPr="007B15EB">
        <w:rPr>
          <w:rFonts w:ascii="Times New Roman" w:hAnsi="Times New Roman"/>
          <w:sz w:val="28"/>
          <w:szCs w:val="28"/>
        </w:rPr>
        <w:t xml:space="preserve">7 років важко розрізняти реальність і свої враження про неї, то вона також не може визначити, що є видумка і що реальність у медіатексті. Висока візуальна чутливість. Діти віком до семи років візуально зорієнтовані. Їх можуть злякати окремі зображення: образи гротескних істот із жанру фентезі  чи тварин, які погрозливо поводяться або змінюють форму. Ці персонажі дуже схожі на страшні фантазії, легко переміщаються в таємний дитячий «паралельний світ».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Здатні сильно вразити малу дитину також зображення тварин та дітей, що піддаються фізичній загрозі або насильству. Після шести-семи років досвід дитини стає достатнім для того, щоб розрізнити реальний світ від фантазій, оволодіти ними, щоб утримуватись у реальності й без присутності дорослого. Саме цим механізмом дитина може користуватись і для опанування враженнями з екрана телевізора чи монітора. Проте самостійне визначення ступеня реалістичності зображених медіаподій –  це завдання, у якому дитина продовжуватиме вправлятись і в значно старшому віці.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«Межа 9 років»</w:t>
      </w:r>
      <w:r>
        <w:rPr>
          <w:rFonts w:ascii="Times New Roman" w:hAnsi="Times New Roman"/>
          <w:sz w:val="28"/>
          <w:szCs w:val="28"/>
        </w:rPr>
        <w:t>.</w:t>
      </w:r>
      <w:r w:rsidRPr="007B15EB">
        <w:rPr>
          <w:rFonts w:ascii="Times New Roman" w:hAnsi="Times New Roman"/>
          <w:sz w:val="28"/>
          <w:szCs w:val="28"/>
        </w:rPr>
        <w:t xml:space="preserve"> Штучність медіареальності. Близько 9 років діти набувають розуміння штучної природи всіх медіапродуктів, уміють розрізнити фантастику (фентезі, вигадку) від реальності, зрозуміти і розвести реальність актора та його героя, розуміють «несправжність» медіаподій. Проте дистанціюватись від найреалістичніших вигаданих медіапродуктів дитині буде важко принаймні до 12 років.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Діти віком до дев'яти років також часто мають менш розвинений самоконтроль, ніж діти старшого віку. Це означає, що вони можуть легше піддаватися спокусі наслідувати поведінку, яку бачать у медіапродукції. У багатьох дослідженнях показано, що діти віком від дев'яти років і старші, значно критичніші до реклами, фільмів з насиллям та інших медіатекстів, ніж діти віком 8 років та молодші. Із десятирічного віку дітям переважно починає подобатися дивитися медіапродукти, призначені для дорослих [3</w:t>
      </w:r>
      <w:r>
        <w:rPr>
          <w:rFonts w:ascii="Times New Roman" w:hAnsi="Times New Roman"/>
          <w:sz w:val="28"/>
          <w:szCs w:val="28"/>
        </w:rPr>
        <w:t>, с.252</w:t>
      </w:r>
      <w:r w:rsidRPr="007B15EB">
        <w:rPr>
          <w:rFonts w:ascii="Times New Roman" w:hAnsi="Times New Roman"/>
          <w:sz w:val="28"/>
          <w:szCs w:val="28"/>
        </w:rPr>
        <w:t xml:space="preserve">].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Головний напрям медіаосвіти  – поступове передання самоорганізації  і контролю за споживанням медіа із рук батьків до самої дитини, формування віри  в свою здатність і бажання долати спокуси, регулювати своє життя. Сучасне наукове бачення впливу медіа на учнів ґрунтується на спрямуванні уваги учнів. Окреслити цю ідею можна так: медіа не завжди можуть досягти бажаного результату, підказуючи нам, що думати (яким чином аналізувати (сприймати) і які робити з цього висновки (приймати рішення), але вони беззастережно досягають успіху, підказуючи нам, про що ми повинні думати  (що саме аналізувати, обговорювати). </w:t>
      </w:r>
    </w:p>
    <w:p w:rsidR="00B72708" w:rsidRPr="007B15EB"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 xml:space="preserve">Медіа має значний вплив на виховання особистості. Механізми медіа діють так, що діти самостійно обирають типи та види повідомлень, які відповідатимуть їхнім цілям. Сприйняття медіа-повідомлень формує в дітей власну точку зору, думки  та погляди. Це пов’язано з тим, що кожна людина з повідомлень ЗМІ виокремлює  та підтримує лише ті цінності, які притаманні їй у певний час. Під впливом мас-медіа у дітей концентрується увага та самосвідомість.  </w:t>
      </w:r>
    </w:p>
    <w:p w:rsidR="00B72708" w:rsidRPr="00296CE5" w:rsidRDefault="00B72708" w:rsidP="007B15EB">
      <w:pPr>
        <w:spacing w:after="0" w:line="360" w:lineRule="auto"/>
        <w:ind w:firstLine="709"/>
        <w:jc w:val="both"/>
        <w:rPr>
          <w:rFonts w:ascii="Times New Roman" w:hAnsi="Times New Roman"/>
          <w:b/>
          <w:sz w:val="28"/>
          <w:szCs w:val="28"/>
        </w:rPr>
      </w:pPr>
      <w:r w:rsidRPr="00296CE5">
        <w:rPr>
          <w:rFonts w:ascii="Times New Roman" w:hAnsi="Times New Roman"/>
          <w:b/>
          <w:sz w:val="28"/>
          <w:szCs w:val="28"/>
        </w:rPr>
        <w:t xml:space="preserve">Література: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1. Гаврилюк Л. І. Шкільна газета як форма організації медіаосвітнього процесу // Наукові записки Інституту журналістики.  Том 53.  2013.  Жовтень</w:t>
      </w:r>
      <w:r>
        <w:rPr>
          <w:rFonts w:ascii="Times New Roman" w:hAnsi="Times New Roman"/>
          <w:sz w:val="28"/>
          <w:szCs w:val="28"/>
        </w:rPr>
        <w:t>-</w:t>
      </w:r>
      <w:r w:rsidRPr="007B15EB">
        <w:rPr>
          <w:rFonts w:ascii="Times New Roman" w:hAnsi="Times New Roman"/>
          <w:sz w:val="28"/>
          <w:szCs w:val="28"/>
        </w:rPr>
        <w:t>грудень.  С.310</w:t>
      </w:r>
      <w:r>
        <w:rPr>
          <w:rFonts w:ascii="Times New Roman" w:hAnsi="Times New Roman"/>
          <w:sz w:val="28"/>
          <w:szCs w:val="28"/>
        </w:rPr>
        <w:t>-</w:t>
      </w:r>
      <w:r w:rsidRPr="007B15EB">
        <w:rPr>
          <w:rFonts w:ascii="Times New Roman" w:hAnsi="Times New Roman"/>
          <w:sz w:val="28"/>
          <w:szCs w:val="28"/>
        </w:rPr>
        <w:t xml:space="preserve">314.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2. Медіаосвіта та медіаграмотність: підручни</w:t>
      </w:r>
      <w:r>
        <w:rPr>
          <w:rFonts w:ascii="Times New Roman" w:hAnsi="Times New Roman"/>
          <w:sz w:val="28"/>
          <w:szCs w:val="28"/>
        </w:rPr>
        <w:t>к / Ред.-упор. В.Ф. Іванов, О.В. </w:t>
      </w:r>
      <w:r w:rsidRPr="007B15EB">
        <w:rPr>
          <w:rFonts w:ascii="Times New Roman" w:hAnsi="Times New Roman"/>
          <w:sz w:val="28"/>
          <w:szCs w:val="28"/>
        </w:rPr>
        <w:t>Воло</w:t>
      </w:r>
      <w:r>
        <w:rPr>
          <w:rFonts w:ascii="Times New Roman" w:hAnsi="Times New Roman"/>
          <w:sz w:val="28"/>
          <w:szCs w:val="28"/>
        </w:rPr>
        <w:t>шенюк; За науковою редакцією В.В. </w:t>
      </w:r>
      <w:r w:rsidRPr="007B15EB">
        <w:rPr>
          <w:rFonts w:ascii="Times New Roman" w:hAnsi="Times New Roman"/>
          <w:sz w:val="28"/>
          <w:szCs w:val="28"/>
        </w:rPr>
        <w:t xml:space="preserve">Різуна.  Київ: Центр вільної преси, 2012.  352 с.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3. Найдьонова Л. Вплив медіа на розвиток особистості</w:t>
      </w:r>
      <w:r>
        <w:rPr>
          <w:rFonts w:ascii="Times New Roman" w:hAnsi="Times New Roman"/>
          <w:sz w:val="28"/>
          <w:szCs w:val="28"/>
        </w:rPr>
        <w:t xml:space="preserve">. </w:t>
      </w:r>
      <w:r w:rsidRPr="007B15EB">
        <w:rPr>
          <w:rFonts w:ascii="Times New Roman" w:hAnsi="Times New Roman"/>
          <w:sz w:val="28"/>
          <w:szCs w:val="28"/>
        </w:rPr>
        <w:t xml:space="preserve">Медіаосвіта та  медіаграмотність: підручник / Ред.-упор. В.Ф.Іванов, О.В.Волошенюк; За науковою редакцією В.В. Різуна.  Київ: Центр вільної преси, 2013.С. 252. </w:t>
      </w:r>
    </w:p>
    <w:p w:rsidR="00B72708" w:rsidRDefault="00B72708" w:rsidP="007B15EB">
      <w:pPr>
        <w:spacing w:after="0" w:line="360" w:lineRule="auto"/>
        <w:ind w:firstLine="709"/>
        <w:jc w:val="both"/>
        <w:rPr>
          <w:rFonts w:ascii="Times New Roman" w:hAnsi="Times New Roman"/>
          <w:sz w:val="28"/>
          <w:szCs w:val="28"/>
        </w:rPr>
      </w:pPr>
      <w:r w:rsidRPr="007B15EB">
        <w:rPr>
          <w:rFonts w:ascii="Times New Roman" w:hAnsi="Times New Roman"/>
          <w:sz w:val="28"/>
          <w:szCs w:val="28"/>
        </w:rPr>
        <w:t>4. Концепція нової українсь</w:t>
      </w:r>
      <w:r>
        <w:rPr>
          <w:rFonts w:ascii="Times New Roman" w:hAnsi="Times New Roman"/>
          <w:sz w:val="28"/>
          <w:szCs w:val="28"/>
        </w:rPr>
        <w:t xml:space="preserve">кої школи [Електронний ресурс] </w:t>
      </w:r>
      <w:r w:rsidRPr="007B15EB">
        <w:rPr>
          <w:rFonts w:ascii="Times New Roman" w:hAnsi="Times New Roman"/>
          <w:sz w:val="28"/>
          <w:szCs w:val="28"/>
        </w:rPr>
        <w:t xml:space="preserve"> Режим доступу: </w:t>
      </w:r>
      <w:hyperlink r:id="rId4" w:history="1">
        <w:r w:rsidRPr="001E611B">
          <w:rPr>
            <w:rStyle w:val="Hyperlink"/>
            <w:rFonts w:ascii="Times New Roman" w:hAnsi="Times New Roman"/>
            <w:sz w:val="28"/>
            <w:szCs w:val="28"/>
          </w:rPr>
          <w:t>http://mon.gov.ua/Новини%202016/12/05/konczepcziya.pdf</w:t>
        </w:r>
      </w:hyperlink>
    </w:p>
    <w:p w:rsidR="00B72708" w:rsidRDefault="00B72708" w:rsidP="008F2126">
      <w:pPr>
        <w:spacing w:after="0" w:line="360" w:lineRule="auto"/>
        <w:jc w:val="right"/>
        <w:rPr>
          <w:rFonts w:ascii="Times New Roman" w:hAnsi="Times New Roman"/>
          <w:b/>
          <w:bCs/>
          <w:sz w:val="28"/>
          <w:szCs w:val="28"/>
        </w:rPr>
      </w:pPr>
    </w:p>
    <w:p w:rsidR="00B72708" w:rsidRPr="00887A05" w:rsidRDefault="00B72708" w:rsidP="008F2126">
      <w:pPr>
        <w:spacing w:after="0" w:line="360" w:lineRule="auto"/>
        <w:jc w:val="right"/>
        <w:rPr>
          <w:rFonts w:ascii="Times New Roman" w:hAnsi="Times New Roman"/>
          <w:b/>
          <w:bCs/>
          <w:sz w:val="28"/>
          <w:szCs w:val="28"/>
        </w:rPr>
      </w:pPr>
      <w:r w:rsidRPr="00887A05">
        <w:rPr>
          <w:rFonts w:ascii="Times New Roman" w:hAnsi="Times New Roman"/>
          <w:b/>
          <w:bCs/>
          <w:sz w:val="28"/>
          <w:szCs w:val="28"/>
        </w:rPr>
        <w:t>Науковий керівник:</w:t>
      </w:r>
    </w:p>
    <w:p w:rsidR="00B72708" w:rsidRPr="00887A05" w:rsidRDefault="00B72708" w:rsidP="008F2126">
      <w:pPr>
        <w:spacing w:after="0" w:line="360" w:lineRule="auto"/>
        <w:jc w:val="right"/>
        <w:rPr>
          <w:rFonts w:ascii="Times New Roman" w:hAnsi="Times New Roman"/>
          <w:sz w:val="28"/>
          <w:szCs w:val="28"/>
        </w:rPr>
      </w:pPr>
      <w:r w:rsidRPr="00887A05">
        <w:rPr>
          <w:rFonts w:ascii="Times New Roman" w:hAnsi="Times New Roman"/>
          <w:sz w:val="28"/>
          <w:szCs w:val="28"/>
        </w:rPr>
        <w:t>кандидат педагогічних наук</w:t>
      </w:r>
      <w:r>
        <w:rPr>
          <w:rFonts w:ascii="Times New Roman" w:hAnsi="Times New Roman"/>
          <w:sz w:val="28"/>
          <w:szCs w:val="28"/>
        </w:rPr>
        <w:t>, доцент</w:t>
      </w:r>
      <w:r w:rsidRPr="00887A05">
        <w:rPr>
          <w:rFonts w:ascii="Times New Roman" w:hAnsi="Times New Roman"/>
          <w:sz w:val="28"/>
          <w:szCs w:val="28"/>
        </w:rPr>
        <w:t xml:space="preserve"> Даниляк Руслана Зіновіївна</w:t>
      </w:r>
    </w:p>
    <w:p w:rsidR="00B72708" w:rsidRDefault="00B72708" w:rsidP="008F2126">
      <w:pPr>
        <w:spacing w:after="0" w:line="360" w:lineRule="auto"/>
        <w:ind w:firstLine="709"/>
        <w:jc w:val="right"/>
        <w:rPr>
          <w:rFonts w:ascii="Times New Roman" w:hAnsi="Times New Roman"/>
          <w:sz w:val="28"/>
          <w:szCs w:val="28"/>
        </w:rPr>
      </w:pPr>
    </w:p>
    <w:p w:rsidR="00B72708" w:rsidRPr="007B15EB" w:rsidRDefault="00B72708" w:rsidP="007B15EB">
      <w:pPr>
        <w:spacing w:after="0" w:line="360" w:lineRule="auto"/>
        <w:ind w:firstLine="709"/>
        <w:jc w:val="both"/>
        <w:rPr>
          <w:rFonts w:ascii="Times New Roman" w:hAnsi="Times New Roman"/>
          <w:sz w:val="28"/>
          <w:szCs w:val="28"/>
        </w:rPr>
      </w:pPr>
    </w:p>
    <w:sectPr w:rsidR="00B72708" w:rsidRPr="007B15EB" w:rsidSect="009E4A5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6C05"/>
    <w:rsid w:val="000F4706"/>
    <w:rsid w:val="001E611B"/>
    <w:rsid w:val="00296CE5"/>
    <w:rsid w:val="003C7EDD"/>
    <w:rsid w:val="00402F90"/>
    <w:rsid w:val="0044470B"/>
    <w:rsid w:val="00446E9E"/>
    <w:rsid w:val="004C67EB"/>
    <w:rsid w:val="00597DA1"/>
    <w:rsid w:val="007B15EB"/>
    <w:rsid w:val="00805474"/>
    <w:rsid w:val="00816252"/>
    <w:rsid w:val="00887A05"/>
    <w:rsid w:val="008F2126"/>
    <w:rsid w:val="009E4A55"/>
    <w:rsid w:val="00B36C6B"/>
    <w:rsid w:val="00B7091A"/>
    <w:rsid w:val="00B72708"/>
    <w:rsid w:val="00B9662C"/>
    <w:rsid w:val="00DE2F62"/>
    <w:rsid w:val="00EE54E1"/>
    <w:rsid w:val="00F16C0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F90"/>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C67EB"/>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on.gov.ua/&#1053;&#1086;&#1074;&#1080;&#1085;&#1080;%202016/12/05/konczepcziy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6</Pages>
  <Words>6294</Words>
  <Characters>3588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2023-11-11T16:57:00Z</dcterms:created>
  <dcterms:modified xsi:type="dcterms:W3CDTF">2023-11-29T19:38:00Z</dcterms:modified>
</cp:coreProperties>
</file>